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A252" w14:textId="77777777" w:rsidR="00167FB2" w:rsidRDefault="007D2034">
      <w:pPr>
        <w:pStyle w:val="afa"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РОССТАТ</w:t>
      </w:r>
    </w:p>
    <w:p w14:paraId="1BB41349" w14:textId="77777777" w:rsidR="00167FB2" w:rsidRDefault="007D2034">
      <w:pPr>
        <w:pStyle w:val="afa"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УПРАВЛЕНИЕ ФЕДЕРАЛЬНОЙ СЛУЖБЫ ГОСУДАРСТВЕННОЙ СТАТИСТИКИ </w:t>
      </w:r>
      <w:r>
        <w:rPr>
          <w:b w:val="0"/>
          <w:bCs w:val="0"/>
          <w:sz w:val="24"/>
        </w:rPr>
        <w:br/>
        <w:t>ПО КРАСНОЯРСКОМУ КРАЮ, РЕСПУБЛИКЕ ХАКАСИЯ И РЕСПУБЛИКЕ ТЫВА</w:t>
      </w:r>
    </w:p>
    <w:p w14:paraId="665495C8" w14:textId="77777777" w:rsidR="00167FB2" w:rsidRDefault="007D2034">
      <w:pPr>
        <w:pStyle w:val="33"/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(КРАСНОЯРСКСТАТ)</w:t>
      </w:r>
    </w:p>
    <w:p w14:paraId="560317AF" w14:textId="77777777" w:rsidR="00167FB2" w:rsidRDefault="00167FB2">
      <w:pPr>
        <w:contextualSpacing/>
        <w:jc w:val="both"/>
      </w:pPr>
    </w:p>
    <w:p w14:paraId="4FB08258" w14:textId="77777777" w:rsidR="00167FB2" w:rsidRDefault="00167FB2">
      <w:pPr>
        <w:contextualSpacing/>
        <w:jc w:val="both"/>
      </w:pPr>
    </w:p>
    <w:p w14:paraId="418547C7" w14:textId="77777777" w:rsidR="00167FB2" w:rsidRDefault="007D2034">
      <w:pPr>
        <w:contextualSpacing/>
        <w:jc w:val="center"/>
        <w:rPr>
          <w:color w:val="000000"/>
        </w:rPr>
      </w:pPr>
      <w:r>
        <w:rPr>
          <w:color w:val="000000"/>
        </w:rPr>
        <w:t>ИНФОРМАЦИОННОЕ ПИСЬМО</w:t>
      </w:r>
    </w:p>
    <w:p w14:paraId="311F8705" w14:textId="77777777" w:rsidR="00167FB2" w:rsidRDefault="00167FB2">
      <w:pPr>
        <w:contextualSpacing/>
        <w:jc w:val="center"/>
        <w:rPr>
          <w:color w:val="000000"/>
          <w:sz w:val="12"/>
          <w:szCs w:val="12"/>
        </w:rPr>
      </w:pPr>
    </w:p>
    <w:p w14:paraId="218B899C" w14:textId="77777777" w:rsidR="00167FB2" w:rsidRDefault="00167FB2">
      <w:pPr>
        <w:contextualSpacing/>
        <w:jc w:val="center"/>
        <w:rPr>
          <w:color w:val="000000"/>
          <w:sz w:val="12"/>
          <w:szCs w:val="12"/>
        </w:rPr>
      </w:pPr>
    </w:p>
    <w:p w14:paraId="012AE165" w14:textId="77777777" w:rsidR="00167FB2" w:rsidRDefault="00167FB2">
      <w:pPr>
        <w:contextualSpacing/>
        <w:jc w:val="both"/>
      </w:pPr>
    </w:p>
    <w:p w14:paraId="65158A40" w14:textId="77777777" w:rsidR="00167FB2" w:rsidRDefault="007D2034">
      <w:pPr>
        <w:pStyle w:val="afa"/>
        <w:tabs>
          <w:tab w:val="left" w:pos="993"/>
        </w:tabs>
        <w:rPr>
          <w:b w:val="0"/>
          <w:szCs w:val="28"/>
        </w:rPr>
      </w:pPr>
      <w:r>
        <w:rPr>
          <w:b w:val="0"/>
          <w:bCs w:val="0"/>
          <w:szCs w:val="28"/>
        </w:rPr>
        <w:t>01.03.2024</w:t>
      </w:r>
      <w:r>
        <w:rPr>
          <w:b w:val="0"/>
          <w:bCs w:val="0"/>
          <w:szCs w:val="28"/>
        </w:rPr>
        <w:t xml:space="preserve">                                                                                </w:t>
      </w:r>
      <w:r>
        <w:rPr>
          <w:b w:val="0"/>
          <w:bCs w:val="0"/>
          <w:szCs w:val="28"/>
        </w:rPr>
        <w:t>№ АР-Т26-10/1455-ДР</w:t>
      </w:r>
    </w:p>
    <w:p w14:paraId="066599B0" w14:textId="77777777" w:rsidR="00167FB2" w:rsidRDefault="00167FB2">
      <w:pPr>
        <w:ind w:firstLine="709"/>
        <w:contextualSpacing/>
        <w:jc w:val="center"/>
        <w:rPr>
          <w:b/>
          <w:sz w:val="12"/>
          <w:szCs w:val="12"/>
        </w:rPr>
      </w:pPr>
    </w:p>
    <w:p w14:paraId="02C5AB1D" w14:textId="77777777" w:rsidR="00167FB2" w:rsidRDefault="00167FB2">
      <w:pPr>
        <w:ind w:firstLine="709"/>
        <w:contextualSpacing/>
        <w:jc w:val="center"/>
        <w:rPr>
          <w:b/>
          <w:sz w:val="12"/>
          <w:szCs w:val="12"/>
        </w:rPr>
      </w:pPr>
    </w:p>
    <w:p w14:paraId="74423785" w14:textId="77777777" w:rsidR="00167FB2" w:rsidRDefault="007D2034">
      <w:pPr>
        <w:pStyle w:val="111"/>
        <w:spacing w:line="276" w:lineRule="auto"/>
        <w:contextualSpacing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4"/>
          <w:szCs w:val="24"/>
        </w:rPr>
        <w:t>предоставлении сведений по форме № 1-здрав</w:t>
      </w:r>
    </w:p>
    <w:p w14:paraId="2B58EE2B" w14:textId="77777777" w:rsidR="00167FB2" w:rsidRDefault="007D2034">
      <w:pPr>
        <w:pStyle w:val="111"/>
        <w:spacing w:line="276" w:lineRule="auto"/>
        <w:contextualSpacing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организациями, имеющими действующую лицензию </w:t>
      </w:r>
      <w:r>
        <w:rPr>
          <w:b w:val="0"/>
          <w:bCs w:val="0"/>
          <w:sz w:val="24"/>
          <w:szCs w:val="24"/>
        </w:rPr>
        <w:br/>
        <w:t xml:space="preserve">на осуществление медицинской деятельности </w:t>
      </w:r>
    </w:p>
    <w:p w14:paraId="0DB5B3FA" w14:textId="77777777" w:rsidR="00167FB2" w:rsidRDefault="007D2034">
      <w:pPr>
        <w:spacing w:after="60" w:line="276" w:lineRule="auto"/>
        <w:ind w:firstLine="567"/>
        <w:jc w:val="both"/>
      </w:pPr>
      <w:r>
        <w:t xml:space="preserve">Управление Федеральной службы государственной статистики по Красноярскому краю, Республике Хакасия и Республике Тыва информирует о том, что при заполнении формы </w:t>
      </w:r>
      <w:r>
        <w:br/>
        <w:t xml:space="preserve">№ 1-здрав «Сведение об организации, оказывающей услуги по медицинской деятельности», утвержденной приказом Росстата от 31.07.2023 № 361, следует руководствоваться указаниями, размещенными на бланке. </w:t>
      </w:r>
    </w:p>
    <w:p w14:paraId="0EC634D2" w14:textId="77777777" w:rsidR="00167FB2" w:rsidRDefault="00167FB2">
      <w:pPr>
        <w:spacing w:line="276" w:lineRule="auto"/>
        <w:rPr>
          <w:sz w:val="10"/>
          <w:szCs w:val="10"/>
          <w:highlight w:val="yellow"/>
        </w:rPr>
      </w:pPr>
    </w:p>
    <w:p w14:paraId="64E51C33" w14:textId="77777777" w:rsidR="00167FB2" w:rsidRDefault="007D2034">
      <w:pPr>
        <w:spacing w:line="276" w:lineRule="auto"/>
        <w:ind w:firstLine="567"/>
        <w:rPr>
          <w:iCs/>
        </w:rPr>
      </w:pPr>
      <w:r>
        <w:rPr>
          <w:iCs/>
          <w:u w:val="single"/>
        </w:rPr>
        <w:t>Раздел 1.</w:t>
      </w:r>
      <w:r>
        <w:rPr>
          <w:iCs/>
        </w:rPr>
        <w:t xml:space="preserve"> Юридические лица, оказывающие услуги по медицинской помощи</w:t>
      </w:r>
    </w:p>
    <w:p w14:paraId="4477CE68" w14:textId="77777777" w:rsidR="00167FB2" w:rsidRDefault="00167FB2">
      <w:pPr>
        <w:spacing w:line="276" w:lineRule="auto"/>
        <w:ind w:firstLine="567"/>
        <w:jc w:val="center"/>
        <w:rPr>
          <w:iCs/>
          <w:sz w:val="10"/>
          <w:szCs w:val="10"/>
          <w:highlight w:val="yellow"/>
        </w:rPr>
      </w:pPr>
    </w:p>
    <w:p w14:paraId="43364B9D" w14:textId="77777777" w:rsidR="00167FB2" w:rsidRDefault="007D2034">
      <w:pPr>
        <w:spacing w:line="276" w:lineRule="auto"/>
        <w:ind w:firstLine="567"/>
        <w:jc w:val="both"/>
      </w:pPr>
      <w:r>
        <w:t xml:space="preserve">Необходимо выбрать один из десяти типов организаций из стр. 1-9, 16 </w:t>
      </w:r>
      <w:r>
        <w:br/>
        <w:t>и в соответствующей графе поставить «1». Организация не может иметь одновременно несколько типов.</w:t>
      </w:r>
    </w:p>
    <w:p w14:paraId="14FFAC17" w14:textId="77777777" w:rsidR="00167FB2" w:rsidRDefault="007D2034">
      <w:pPr>
        <w:spacing w:line="276" w:lineRule="auto"/>
        <w:ind w:firstLine="567"/>
        <w:jc w:val="both"/>
        <w:rPr>
          <w:b/>
          <w:color w:val="000000" w:themeColor="text1"/>
        </w:rPr>
      </w:pPr>
      <w:r>
        <w:t>Респонденты, указавшие в Разделе 1 тип организации по стр. 16 (</w:t>
      </w:r>
      <w:r>
        <w:rPr>
          <w:color w:val="000000" w:themeColor="text1"/>
        </w:rPr>
        <w:t xml:space="preserve">протезно-ортопедические предприятия (не являющиеся больничной или амбулаторно-поликлинической организацией), организации отдыха, учреждения медико-социальной экспертизы, стационарные учреждения социального обслуживания населения для взрослых и детей, образовательные учреждения, автотранспортные предприятия и т.п.) заполняют </w:t>
      </w:r>
      <w:r>
        <w:rPr>
          <w:b/>
          <w:color w:val="000000" w:themeColor="text1"/>
        </w:rPr>
        <w:t xml:space="preserve">только Раздел 5. </w:t>
      </w:r>
    </w:p>
    <w:p w14:paraId="2F79B0F8" w14:textId="77777777" w:rsidR="00167FB2" w:rsidRDefault="007D2034">
      <w:pPr>
        <w:spacing w:line="276" w:lineRule="auto"/>
        <w:ind w:firstLine="567"/>
        <w:jc w:val="both"/>
        <w:rPr>
          <w:highlight w:val="yellow"/>
        </w:rPr>
      </w:pPr>
      <w:r>
        <w:rPr>
          <w:color w:val="000000" w:themeColor="text1"/>
        </w:rPr>
        <w:t xml:space="preserve">В том случае, если у таких респондентов оборудован и открыт здравпункт, </w:t>
      </w:r>
      <w:r>
        <w:rPr>
          <w:color w:val="000000" w:themeColor="text1"/>
        </w:rPr>
        <w:br/>
        <w:t>его необходимо отразить в Разделе 2.</w:t>
      </w:r>
    </w:p>
    <w:p w14:paraId="6A86DFED" w14:textId="77777777" w:rsidR="00167FB2" w:rsidRDefault="00167FB2">
      <w:pPr>
        <w:spacing w:line="276" w:lineRule="auto"/>
        <w:ind w:firstLine="567"/>
        <w:jc w:val="center"/>
        <w:rPr>
          <w:iCs/>
          <w:sz w:val="10"/>
          <w:szCs w:val="10"/>
          <w:highlight w:val="yellow"/>
        </w:rPr>
      </w:pPr>
    </w:p>
    <w:p w14:paraId="53496C06" w14:textId="77777777" w:rsidR="00167FB2" w:rsidRDefault="007D2034">
      <w:pPr>
        <w:spacing w:line="276" w:lineRule="auto"/>
        <w:rPr>
          <w:iCs/>
        </w:rPr>
      </w:pPr>
      <w:r>
        <w:rPr>
          <w:iCs/>
        </w:rPr>
        <w:t xml:space="preserve">          </w:t>
      </w:r>
      <w:r>
        <w:rPr>
          <w:iCs/>
          <w:u w:val="single"/>
        </w:rPr>
        <w:t>Раздел 2.</w:t>
      </w:r>
      <w:r>
        <w:rPr>
          <w:iCs/>
        </w:rPr>
        <w:t xml:space="preserve"> Структурные подразделения (отделения, кабинеты)</w:t>
      </w:r>
    </w:p>
    <w:p w14:paraId="42C215B8" w14:textId="77777777" w:rsidR="00167FB2" w:rsidRDefault="00167FB2">
      <w:pPr>
        <w:spacing w:line="276" w:lineRule="auto"/>
        <w:ind w:firstLine="709"/>
        <w:jc w:val="center"/>
        <w:rPr>
          <w:iCs/>
          <w:sz w:val="10"/>
          <w:szCs w:val="10"/>
        </w:rPr>
      </w:pPr>
    </w:p>
    <w:p w14:paraId="2AC81122" w14:textId="77777777" w:rsidR="00167FB2" w:rsidRDefault="007D2034">
      <w:pPr>
        <w:spacing w:line="276" w:lineRule="auto"/>
        <w:jc w:val="both"/>
      </w:pPr>
      <w:r>
        <w:t xml:space="preserve">          По графе 3 «</w:t>
      </w:r>
      <w:r>
        <w:rPr>
          <w:color w:val="000000"/>
          <w:shd w:val="clear" w:color="auto" w:fill="FFFFFF"/>
        </w:rPr>
        <w:t xml:space="preserve">Структурные подразделения (отделения, кабинеты)» необходимо </w:t>
      </w:r>
      <w:r>
        <w:t xml:space="preserve">отражать либо отделения, либо кабинеты. </w:t>
      </w:r>
      <w:r>
        <w:rPr>
          <w:b/>
          <w:bCs/>
        </w:rPr>
        <w:t>Обращаем внимание</w:t>
      </w:r>
      <w:r>
        <w:t>, организации, осуществляющие профильную медицинскую деятельность и имеющие аналогичные структурные подразделения, сведения по ним в данном разделе не заполняют. Например: если в Разделе 1 указан тип организации по стр. 05 «Амбулаторно-поликлиническая для детей», то в Разделе 2 стр. 03 «Детское отделение (кабинет)» заполнять не нужно.</w:t>
      </w:r>
    </w:p>
    <w:p w14:paraId="5845FE4C" w14:textId="77777777" w:rsidR="00167FB2" w:rsidRDefault="00167FB2">
      <w:pPr>
        <w:spacing w:line="276" w:lineRule="auto"/>
        <w:ind w:firstLine="709"/>
        <w:jc w:val="center"/>
        <w:rPr>
          <w:iCs/>
          <w:sz w:val="10"/>
          <w:szCs w:val="10"/>
          <w:highlight w:val="yellow"/>
        </w:rPr>
      </w:pPr>
    </w:p>
    <w:p w14:paraId="10398540" w14:textId="77777777" w:rsidR="00167FB2" w:rsidRDefault="007D2034">
      <w:pPr>
        <w:spacing w:line="276" w:lineRule="auto"/>
        <w:ind w:firstLine="709"/>
        <w:rPr>
          <w:iCs/>
        </w:rPr>
      </w:pPr>
      <w:r>
        <w:rPr>
          <w:iCs/>
          <w:u w:val="single"/>
        </w:rPr>
        <w:t>Раздел 3.</w:t>
      </w:r>
      <w:r>
        <w:rPr>
          <w:iCs/>
        </w:rPr>
        <w:t xml:space="preserve"> Деятельность амбулаторно-поликлинических (стационарно-поликлинических) организаций</w:t>
      </w:r>
    </w:p>
    <w:p w14:paraId="09B9A159" w14:textId="77777777" w:rsidR="00167FB2" w:rsidRDefault="00167FB2">
      <w:pPr>
        <w:spacing w:line="276" w:lineRule="auto"/>
        <w:ind w:firstLine="709"/>
        <w:jc w:val="center"/>
        <w:rPr>
          <w:iCs/>
          <w:sz w:val="10"/>
          <w:szCs w:val="10"/>
        </w:rPr>
      </w:pPr>
    </w:p>
    <w:p w14:paraId="316F968B" w14:textId="77777777" w:rsidR="00167FB2" w:rsidRDefault="007D2034">
      <w:pPr>
        <w:spacing w:line="276" w:lineRule="auto"/>
        <w:ind w:firstLine="709"/>
        <w:jc w:val="both"/>
      </w:pPr>
      <w:r>
        <w:rPr>
          <w:iCs/>
        </w:rPr>
        <w:t xml:space="preserve">Мощность - плановый показатель, </w:t>
      </w:r>
      <w:r>
        <w:rPr>
          <w:b/>
          <w:bCs/>
          <w:iCs/>
        </w:rPr>
        <w:t>не зависит</w:t>
      </w:r>
      <w:r>
        <w:rPr>
          <w:iCs/>
        </w:rPr>
        <w:t xml:space="preserve"> от числа фактических посещений. </w:t>
      </w:r>
      <w:r>
        <w:rPr>
          <w:iCs/>
        </w:rPr>
        <w:br/>
        <w:t xml:space="preserve">Она может измениться только в том случае, если изменилась «рабочая» площадь помещения, </w:t>
      </w:r>
      <w:r>
        <w:rPr>
          <w:iCs/>
        </w:rPr>
        <w:br/>
        <w:t>в котором ведется амбулаторный прием пациентов.</w:t>
      </w:r>
    </w:p>
    <w:p w14:paraId="20EF29B7" w14:textId="77777777" w:rsidR="00167FB2" w:rsidRDefault="00167FB2">
      <w:pPr>
        <w:spacing w:line="276" w:lineRule="auto"/>
        <w:ind w:firstLine="709"/>
        <w:jc w:val="center"/>
        <w:rPr>
          <w:iCs/>
          <w:sz w:val="10"/>
          <w:szCs w:val="10"/>
          <w:highlight w:val="yellow"/>
        </w:rPr>
      </w:pPr>
    </w:p>
    <w:p w14:paraId="12201572" w14:textId="77777777" w:rsidR="00167FB2" w:rsidRDefault="00167FB2">
      <w:pPr>
        <w:spacing w:line="276" w:lineRule="auto"/>
        <w:ind w:firstLine="709"/>
        <w:rPr>
          <w:iCs/>
          <w:u w:val="single"/>
        </w:rPr>
      </w:pPr>
    </w:p>
    <w:p w14:paraId="73E36039" w14:textId="77777777" w:rsidR="00167FB2" w:rsidRDefault="00167FB2">
      <w:pPr>
        <w:spacing w:line="276" w:lineRule="auto"/>
        <w:ind w:firstLine="709"/>
        <w:rPr>
          <w:iCs/>
          <w:u w:val="single"/>
        </w:rPr>
      </w:pPr>
    </w:p>
    <w:p w14:paraId="74EF522E" w14:textId="77777777" w:rsidR="00167FB2" w:rsidRDefault="007D2034">
      <w:pPr>
        <w:spacing w:line="276" w:lineRule="auto"/>
        <w:ind w:firstLine="709"/>
        <w:rPr>
          <w:iCs/>
        </w:rPr>
      </w:pPr>
      <w:r>
        <w:rPr>
          <w:iCs/>
          <w:u w:val="single"/>
        </w:rPr>
        <w:t>Раздел 4.</w:t>
      </w:r>
      <w:r>
        <w:rPr>
          <w:iCs/>
        </w:rPr>
        <w:t xml:space="preserve"> Деятельность коечного фонда</w:t>
      </w:r>
    </w:p>
    <w:p w14:paraId="1C30A912" w14:textId="77777777" w:rsidR="00167FB2" w:rsidRDefault="00167FB2">
      <w:pPr>
        <w:spacing w:line="276" w:lineRule="auto"/>
        <w:ind w:firstLine="709"/>
        <w:rPr>
          <w:iCs/>
          <w:sz w:val="10"/>
          <w:szCs w:val="10"/>
        </w:rPr>
      </w:pPr>
    </w:p>
    <w:p w14:paraId="11D2E2D8" w14:textId="77777777" w:rsidR="00167FB2" w:rsidRDefault="007D2034">
      <w:pPr>
        <w:spacing w:line="276" w:lineRule="auto"/>
        <w:ind w:firstLine="709"/>
        <w:jc w:val="both"/>
        <w:rPr>
          <w:iCs/>
        </w:rPr>
      </w:pPr>
      <w:r>
        <w:t>Организации, имеющие дневной стационар, по стр. 21 показывают койки, а не койко-места.</w:t>
      </w:r>
      <w:r>
        <w:rPr>
          <w:iCs/>
        </w:rPr>
        <w:t xml:space="preserve"> Необходимо проверить, если на конец года отражены койки дневных стационаров, </w:t>
      </w:r>
      <w:r>
        <w:rPr>
          <w:iCs/>
        </w:rPr>
        <w:br/>
        <w:t>то в Разделе 2 по стр. 12 должны быть внесены данные о количестве дневных стационаров.</w:t>
      </w:r>
    </w:p>
    <w:p w14:paraId="625540FF" w14:textId="77777777" w:rsidR="00167FB2" w:rsidRDefault="007D2034">
      <w:pPr>
        <w:spacing w:line="276" w:lineRule="auto"/>
        <w:ind w:firstLine="709"/>
        <w:jc w:val="both"/>
      </w:pPr>
      <w:r>
        <w:rPr>
          <w:bCs/>
        </w:rPr>
        <w:t>Обращаем внимание -</w:t>
      </w:r>
      <w:r>
        <w:rPr>
          <w:b/>
        </w:rPr>
        <w:t xml:space="preserve"> </w:t>
      </w:r>
      <w:r>
        <w:rPr>
          <w:bCs/>
        </w:rPr>
        <w:t>с</w:t>
      </w:r>
      <w:r>
        <w:t xml:space="preserve">пециализация коек по стр. 18 изменена с «общих» </w:t>
      </w:r>
      <w:r>
        <w:br/>
        <w:t>на «геронтологические».</w:t>
      </w:r>
    </w:p>
    <w:p w14:paraId="7BAB703E" w14:textId="77777777" w:rsidR="00167FB2" w:rsidRDefault="00167FB2">
      <w:pPr>
        <w:spacing w:line="276" w:lineRule="auto"/>
        <w:ind w:firstLine="709"/>
        <w:jc w:val="center"/>
        <w:rPr>
          <w:i/>
          <w:sz w:val="10"/>
          <w:szCs w:val="10"/>
          <w:u w:val="single"/>
        </w:rPr>
      </w:pPr>
    </w:p>
    <w:p w14:paraId="7AFDF328" w14:textId="77777777" w:rsidR="00167FB2" w:rsidRDefault="007D2034">
      <w:pPr>
        <w:spacing w:line="276" w:lineRule="auto"/>
        <w:ind w:firstLine="709"/>
        <w:rPr>
          <w:iCs/>
        </w:rPr>
      </w:pPr>
      <w:r>
        <w:rPr>
          <w:iCs/>
          <w:u w:val="single"/>
        </w:rPr>
        <w:t>Раздел 5.</w:t>
      </w:r>
      <w:r>
        <w:rPr>
          <w:iCs/>
        </w:rPr>
        <w:t xml:space="preserve"> Медицинские работники</w:t>
      </w:r>
    </w:p>
    <w:p w14:paraId="7B663073" w14:textId="77777777" w:rsidR="00167FB2" w:rsidRDefault="00167FB2">
      <w:pPr>
        <w:spacing w:line="276" w:lineRule="auto"/>
        <w:ind w:firstLine="709"/>
        <w:rPr>
          <w:iCs/>
          <w:sz w:val="10"/>
          <w:szCs w:val="10"/>
        </w:rPr>
      </w:pPr>
    </w:p>
    <w:p w14:paraId="1A5DB3C6" w14:textId="77777777" w:rsidR="00167FB2" w:rsidRDefault="007D2034">
      <w:pPr>
        <w:spacing w:line="276" w:lineRule="auto"/>
        <w:ind w:firstLine="709"/>
        <w:jc w:val="both"/>
      </w:pPr>
      <w:r>
        <w:t xml:space="preserve">Данные о численности необходимо отразить </w:t>
      </w:r>
      <w:r>
        <w:rPr>
          <w:b/>
        </w:rPr>
        <w:t>на конец года</w:t>
      </w:r>
      <w:r>
        <w:t xml:space="preserve">, распределив </w:t>
      </w:r>
    </w:p>
    <w:p w14:paraId="17C6807C" w14:textId="77777777" w:rsidR="00167FB2" w:rsidRDefault="007D2034">
      <w:pPr>
        <w:spacing w:line="276" w:lineRule="auto"/>
        <w:jc w:val="both"/>
      </w:pPr>
      <w:r>
        <w:t xml:space="preserve">их по должностям в соответствии с </w:t>
      </w:r>
      <w:r>
        <w:rPr>
          <w:color w:val="000000" w:themeColor="text1"/>
        </w:rPr>
        <w:t>приказом Минздрава России от 02 мая 2023 г. № 205н</w:t>
      </w:r>
      <w:r>
        <w:rPr>
          <w:color w:val="000000" w:themeColor="text1"/>
        </w:rPr>
        <w:br/>
        <w:t>«Об утверждении номенклатуры должностей медицинских и фармацевтических работников».</w:t>
      </w:r>
    </w:p>
    <w:p w14:paraId="353BC873" w14:textId="77777777" w:rsidR="00167FB2" w:rsidRDefault="00167FB2">
      <w:pPr>
        <w:spacing w:line="276" w:lineRule="auto"/>
        <w:ind w:firstLine="709"/>
        <w:jc w:val="center"/>
        <w:rPr>
          <w:i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167FB2" w14:paraId="20268604" w14:textId="77777777">
        <w:tc>
          <w:tcPr>
            <w:tcW w:w="9889" w:type="dxa"/>
            <w:gridSpan w:val="2"/>
          </w:tcPr>
          <w:p w14:paraId="5185AE7B" w14:textId="77777777" w:rsidR="00167FB2" w:rsidRDefault="007D203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В численность медицинских работников не включаются госслужащие, преподаватели высших и средних образовательных медицинских организаций, совместители, </w:t>
            </w:r>
          </w:p>
          <w:p w14:paraId="10838233" w14:textId="77777777" w:rsidR="00167FB2" w:rsidRDefault="007D203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также </w:t>
            </w:r>
            <w:r>
              <w:rPr>
                <w:b/>
                <w:iCs/>
              </w:rPr>
              <w:t>не относятся</w:t>
            </w:r>
          </w:p>
        </w:tc>
      </w:tr>
      <w:tr w:rsidR="00167FB2" w14:paraId="6C1FBD2D" w14:textId="77777777">
        <w:tc>
          <w:tcPr>
            <w:tcW w:w="4219" w:type="dxa"/>
          </w:tcPr>
          <w:p w14:paraId="00F016BB" w14:textId="77777777" w:rsidR="00167FB2" w:rsidRDefault="007D203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к врачам:</w:t>
            </w:r>
          </w:p>
        </w:tc>
        <w:tc>
          <w:tcPr>
            <w:tcW w:w="5670" w:type="dxa"/>
          </w:tcPr>
          <w:p w14:paraId="15A4BE28" w14:textId="77777777" w:rsidR="00167FB2" w:rsidRDefault="007D203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к среднему медицинскому персоналу:</w:t>
            </w:r>
          </w:p>
        </w:tc>
      </w:tr>
      <w:tr w:rsidR="00167FB2" w14:paraId="76CCBDDC" w14:textId="77777777">
        <w:tc>
          <w:tcPr>
            <w:tcW w:w="4219" w:type="dxa"/>
          </w:tcPr>
          <w:p w14:paraId="18A958FB" w14:textId="77777777" w:rsidR="00167FB2" w:rsidRDefault="00167FB2">
            <w:pPr>
              <w:spacing w:line="276" w:lineRule="auto"/>
              <w:ind w:left="24"/>
            </w:pPr>
          </w:p>
          <w:p w14:paraId="33C74729" w14:textId="77777777" w:rsidR="00167FB2" w:rsidRDefault="007D2034">
            <w:pPr>
              <w:spacing w:line="276" w:lineRule="auto"/>
              <w:ind w:left="23"/>
              <w:jc w:val="center"/>
            </w:pPr>
            <w:r>
              <w:t>Специалисты с высшим немедицинским образованием:</w:t>
            </w:r>
          </w:p>
          <w:p w14:paraId="7F01CFA6" w14:textId="77777777" w:rsidR="00167FB2" w:rsidRDefault="007D2034">
            <w:pPr>
              <w:spacing w:line="276" w:lineRule="auto"/>
              <w:ind w:left="23"/>
              <w:jc w:val="center"/>
              <w:rPr>
                <w:iCs/>
              </w:rPr>
            </w:pPr>
            <w:r>
              <w:rPr>
                <w:iCs/>
              </w:rPr>
              <w:t>биологи, инструкторы-методисты по лечебной физкультуре, логопеды, медицинские физики, психологи, судебные эксперты, химики-эксперты, зоологи, эксперты-физики, эмбриологи, энтомологи</w:t>
            </w:r>
          </w:p>
        </w:tc>
        <w:tc>
          <w:tcPr>
            <w:tcW w:w="5670" w:type="dxa"/>
          </w:tcPr>
          <w:p w14:paraId="038818C2" w14:textId="77777777" w:rsidR="00167FB2" w:rsidRDefault="00167FB2">
            <w:pPr>
              <w:spacing w:line="276" w:lineRule="auto"/>
            </w:pPr>
          </w:p>
          <w:p w14:paraId="172A6AEC" w14:textId="77777777" w:rsidR="00167FB2" w:rsidRDefault="007D2034">
            <w:pPr>
              <w:spacing w:line="276" w:lineRule="auto"/>
              <w:jc w:val="center"/>
            </w:pPr>
            <w:r>
              <w:t>Физические лица без медицинского образования, занимающие должности среднего медицинского персонала:</w:t>
            </w:r>
          </w:p>
          <w:p w14:paraId="5154AC29" w14:textId="77777777" w:rsidR="00167FB2" w:rsidRDefault="007D2034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медицинских</w:t>
            </w:r>
            <w:r>
              <w:rPr>
                <w:iCs/>
              </w:rPr>
              <w:t xml:space="preserve"> регистраторов, медицинских дезинфекторов, инструкторов по лечебной физкультуре, инструкторов по трудовой терапии, специалисты с неоконченным высшим образованием или врачи, студенты;</w:t>
            </w:r>
          </w:p>
          <w:p w14:paraId="385D8539" w14:textId="77777777" w:rsidR="00167FB2" w:rsidRDefault="007D2034">
            <w:pPr>
              <w:spacing w:line="276" w:lineRule="auto"/>
              <w:jc w:val="center"/>
              <w:rPr>
                <w:i/>
                <w:iCs/>
                <w:u w:val="single"/>
              </w:rPr>
            </w:pPr>
            <w:r>
              <w:t xml:space="preserve">Младший медицинский персонал: </w:t>
            </w:r>
            <w:r>
              <w:rPr>
                <w:iCs/>
              </w:rPr>
              <w:t>санитар, санитар-водитель, сестра-хозяйка и младшая медицинская сестра по уходу за больными (санитарка)</w:t>
            </w:r>
          </w:p>
        </w:tc>
      </w:tr>
    </w:tbl>
    <w:p w14:paraId="279C9F2E" w14:textId="77777777" w:rsidR="00167FB2" w:rsidRDefault="00167FB2">
      <w:pPr>
        <w:spacing w:line="276" w:lineRule="auto"/>
        <w:ind w:firstLine="709"/>
        <w:jc w:val="both"/>
        <w:rPr>
          <w:iCs/>
        </w:rPr>
      </w:pPr>
    </w:p>
    <w:p w14:paraId="3E935DBC" w14:textId="77777777" w:rsidR="00167FB2" w:rsidRDefault="007D2034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При заполнении стр. 43 «Из общего числа врачей – врачи, обслуживающие детское население» </w:t>
      </w:r>
      <w:r>
        <w:rPr>
          <w:b/>
          <w:bCs/>
          <w:iCs/>
        </w:rPr>
        <w:t>следует учесть, что кроме педиатров детское население могут обслуживать неонатологи</w:t>
      </w:r>
      <w:r>
        <w:rPr>
          <w:iCs/>
        </w:rPr>
        <w:t>, детские эндокринологи, кардиологи, хирурги, урологи-андрологи, онкологи</w:t>
      </w:r>
      <w:r>
        <w:rPr>
          <w:iCs/>
        </w:rPr>
        <w:br/>
        <w:t>и другие врачи, если это предусмотрено лицензией на медицинскую деятельность.</w:t>
      </w:r>
    </w:p>
    <w:p w14:paraId="367FCDB7" w14:textId="77777777" w:rsidR="00167FB2" w:rsidRDefault="007D2034">
      <w:pPr>
        <w:spacing w:line="276" w:lineRule="auto"/>
        <w:ind w:firstLine="709"/>
        <w:jc w:val="both"/>
        <w:rPr>
          <w:highlight w:val="yellow"/>
        </w:rPr>
      </w:pPr>
      <w:r>
        <w:t>В стр. 51 «зубные врачи» учитываются зубные врачи, к которым относятся</w:t>
      </w:r>
      <w:r>
        <w:br/>
        <w:t xml:space="preserve">младшие специалисты, прошедшие 3-х летний курс обучения по специальности </w:t>
      </w:r>
      <w:r>
        <w:br/>
        <w:t xml:space="preserve">«зубоврачебное дело» и имеющие право на проведение лишь ограниченного количества процедур, не осуществляющие сложные хирургические вмешательства, </w:t>
      </w:r>
      <w:r>
        <w:rPr>
          <w:b/>
          <w:bCs/>
        </w:rPr>
        <w:t>обращаем внимание:</w:t>
      </w:r>
      <w:r>
        <w:t xml:space="preserve"> не путать со стр. 38 «стоматологом». С</w:t>
      </w:r>
      <w:r>
        <w:rPr>
          <w:shd w:val="clear" w:color="auto" w:fill="FFFFFF"/>
        </w:rPr>
        <w:t>томатолог занимается ортопедическими и протезными работами, выполняет хирургические вмешательства, проводит имплантацию зубов, способен лечить сложные заболевания десен и другие заболевания лицевой области. Основное различие между зуб</w:t>
      </w:r>
      <w:r>
        <w:rPr>
          <w:shd w:val="clear" w:color="auto" w:fill="FFFFFF"/>
        </w:rPr>
        <w:t>ным врачом и стоматологом в том, что первый концентрируется на лечении зубов, второй- на комплексном лечении заболеваний полости рта и зубов.</w:t>
      </w:r>
    </w:p>
    <w:p w14:paraId="6003A5D8" w14:textId="77777777" w:rsidR="00167FB2" w:rsidRDefault="00167FB2">
      <w:pPr>
        <w:spacing w:line="276" w:lineRule="auto"/>
        <w:ind w:firstLine="709"/>
        <w:jc w:val="center"/>
        <w:rPr>
          <w:iCs/>
          <w:sz w:val="10"/>
          <w:szCs w:val="10"/>
        </w:rPr>
      </w:pPr>
    </w:p>
    <w:p w14:paraId="06FE2A6F" w14:textId="77777777" w:rsidR="00167FB2" w:rsidRDefault="007D2034">
      <w:pPr>
        <w:spacing w:line="276" w:lineRule="auto"/>
        <w:ind w:firstLine="709"/>
        <w:rPr>
          <w:iCs/>
        </w:rPr>
      </w:pPr>
      <w:r>
        <w:rPr>
          <w:iCs/>
          <w:u w:val="single"/>
        </w:rPr>
        <w:t>Раздел 6.</w:t>
      </w:r>
      <w:r>
        <w:rPr>
          <w:iCs/>
        </w:rPr>
        <w:t xml:space="preserve"> Хирургическая работа медицинской организации</w:t>
      </w:r>
    </w:p>
    <w:p w14:paraId="5FAEAB6E" w14:textId="77777777" w:rsidR="00167FB2" w:rsidRDefault="00167FB2">
      <w:pPr>
        <w:spacing w:line="276" w:lineRule="auto"/>
        <w:ind w:firstLine="709"/>
        <w:rPr>
          <w:iCs/>
          <w:sz w:val="10"/>
          <w:szCs w:val="10"/>
        </w:rPr>
      </w:pPr>
    </w:p>
    <w:p w14:paraId="4AF38343" w14:textId="77777777" w:rsidR="00167FB2" w:rsidRDefault="007D2034">
      <w:pPr>
        <w:spacing w:line="276" w:lineRule="auto"/>
        <w:ind w:firstLine="709"/>
        <w:jc w:val="both"/>
      </w:pPr>
      <w:r>
        <w:t xml:space="preserve">Виды операций определены номенклатурой медицинских услуг, утвержденной приказом Министерства здравоохранения от 13 октября 2017 г. № 804н. </w:t>
      </w:r>
    </w:p>
    <w:p w14:paraId="7AFF752E" w14:textId="77777777" w:rsidR="00167FB2" w:rsidRDefault="007D2034">
      <w:pPr>
        <w:spacing w:line="276" w:lineRule="auto"/>
        <w:ind w:firstLine="709"/>
        <w:jc w:val="both"/>
      </w:pPr>
      <w:r>
        <w:t xml:space="preserve">Удаление зубов, парацентез, мини-аборты к операциям не относятся. </w:t>
      </w:r>
    </w:p>
    <w:p w14:paraId="353F6FBB" w14:textId="77777777" w:rsidR="00167FB2" w:rsidRDefault="00167FB2">
      <w:pPr>
        <w:spacing w:line="276" w:lineRule="auto"/>
        <w:ind w:firstLine="709"/>
        <w:jc w:val="both"/>
        <w:rPr>
          <w:highlight w:val="yellow"/>
        </w:rPr>
      </w:pPr>
    </w:p>
    <w:p w14:paraId="5DAE22E3" w14:textId="77777777" w:rsidR="00167FB2" w:rsidRDefault="007D2034">
      <w:pPr>
        <w:spacing w:line="276" w:lineRule="auto"/>
        <w:ind w:firstLine="709"/>
        <w:rPr>
          <w:iCs/>
        </w:rPr>
      </w:pPr>
      <w:r>
        <w:rPr>
          <w:iCs/>
          <w:u w:val="single"/>
        </w:rPr>
        <w:t>Раздел 7.</w:t>
      </w:r>
      <w:r>
        <w:rPr>
          <w:iCs/>
        </w:rPr>
        <w:t xml:space="preserve"> Сведения о беременности с абортивным исходом</w:t>
      </w:r>
    </w:p>
    <w:p w14:paraId="7C7D4304" w14:textId="77777777" w:rsidR="00167FB2" w:rsidRDefault="00167FB2">
      <w:pPr>
        <w:spacing w:line="276" w:lineRule="auto"/>
        <w:ind w:firstLine="709"/>
        <w:jc w:val="center"/>
        <w:rPr>
          <w:iCs/>
          <w:sz w:val="10"/>
          <w:szCs w:val="10"/>
          <w:highlight w:val="yellow"/>
        </w:rPr>
      </w:pPr>
    </w:p>
    <w:p w14:paraId="6C80E783" w14:textId="77777777" w:rsidR="00167FB2" w:rsidRDefault="007D2034">
      <w:pPr>
        <w:spacing w:line="276" w:lineRule="auto"/>
        <w:ind w:firstLine="709"/>
        <w:jc w:val="both"/>
      </w:pPr>
      <w:r>
        <w:t xml:space="preserve">Число медицинских легальных абортов стр. 06 подраздела «Сведения о беременности </w:t>
      </w:r>
      <w:r>
        <w:br/>
        <w:t xml:space="preserve">с абортивным исходом» </w:t>
      </w:r>
      <w:r>
        <w:rPr>
          <w:b/>
        </w:rPr>
        <w:t>не может быть больше</w:t>
      </w:r>
      <w:r>
        <w:t xml:space="preserve"> числа женщин, обратившихся за направлением на медицинский легальный аборт стр. 1 подраздела «Результаты доабортного консультирования».</w:t>
      </w:r>
    </w:p>
    <w:p w14:paraId="283E7E8F" w14:textId="77777777" w:rsidR="00167FB2" w:rsidRDefault="00167FB2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14:paraId="0089F212" w14:textId="77777777" w:rsidR="00167FB2" w:rsidRDefault="007D2034">
      <w:pPr>
        <w:spacing w:line="276" w:lineRule="auto"/>
        <w:ind w:firstLine="709"/>
        <w:rPr>
          <w:iCs/>
        </w:rPr>
      </w:pPr>
      <w:r>
        <w:rPr>
          <w:iCs/>
          <w:u w:val="single"/>
        </w:rPr>
        <w:t>Раздел 8.</w:t>
      </w:r>
      <w:r>
        <w:rPr>
          <w:iCs/>
        </w:rPr>
        <w:t xml:space="preserve"> Сведения о числе зарегистрированных заболеваний</w:t>
      </w:r>
    </w:p>
    <w:p w14:paraId="47183FE8" w14:textId="77777777" w:rsidR="00167FB2" w:rsidRDefault="00167FB2">
      <w:pPr>
        <w:spacing w:line="276" w:lineRule="auto"/>
        <w:ind w:firstLine="709"/>
        <w:jc w:val="center"/>
        <w:rPr>
          <w:iCs/>
          <w:sz w:val="10"/>
          <w:szCs w:val="10"/>
          <w:highlight w:val="yellow"/>
        </w:rPr>
      </w:pPr>
    </w:p>
    <w:p w14:paraId="085876EF" w14:textId="77777777" w:rsidR="00167FB2" w:rsidRDefault="007D2034">
      <w:pPr>
        <w:spacing w:line="276" w:lineRule="auto"/>
        <w:ind w:firstLine="709"/>
        <w:jc w:val="both"/>
      </w:pPr>
      <w:r>
        <w:t xml:space="preserve">Раздел 8 заполняют </w:t>
      </w:r>
      <w:r>
        <w:rPr>
          <w:b/>
        </w:rPr>
        <w:t>только</w:t>
      </w:r>
      <w:r>
        <w:t xml:space="preserve"> больничные организации, амбулаторно-поликлинические организации, а также немедицинские организации, имеющие подведомственное медицинское подразделение. Организация, имеющая в своем составе поликлиническое отделение, ведущее только консультативный прием, включает сведения о заболеваемости только в том случае, если </w:t>
      </w:r>
      <w:r>
        <w:br/>
        <w:t xml:space="preserve">в данной организации у пациента не только выявляется заболевание, но и осуществляется </w:t>
      </w:r>
      <w:r>
        <w:rPr>
          <w:b/>
        </w:rPr>
        <w:t>лечение и наблюдение за пациентом</w:t>
      </w:r>
      <w:r>
        <w:t>.</w:t>
      </w:r>
    </w:p>
    <w:p w14:paraId="44D770FC" w14:textId="77777777" w:rsidR="00167FB2" w:rsidRDefault="00167FB2">
      <w:pPr>
        <w:spacing w:line="276" w:lineRule="auto"/>
        <w:ind w:firstLine="709"/>
        <w:jc w:val="center"/>
        <w:rPr>
          <w:b/>
          <w:bCs/>
          <w:i/>
          <w:highlight w:val="yellow"/>
          <w:u w:val="single"/>
        </w:rPr>
      </w:pPr>
    </w:p>
    <w:p w14:paraId="18165C4D" w14:textId="77777777" w:rsidR="00167FB2" w:rsidRDefault="007D2034">
      <w:pPr>
        <w:spacing w:line="276" w:lineRule="auto"/>
        <w:ind w:firstLine="709"/>
        <w:rPr>
          <w:iCs/>
        </w:rPr>
      </w:pPr>
      <w:r>
        <w:rPr>
          <w:iCs/>
          <w:u w:val="single"/>
        </w:rPr>
        <w:t>«Пустой» отчет представляют</w:t>
      </w:r>
      <w:r>
        <w:rPr>
          <w:iCs/>
        </w:rPr>
        <w:t>:</w:t>
      </w:r>
    </w:p>
    <w:p w14:paraId="2CDFA6E7" w14:textId="77777777" w:rsidR="00167FB2" w:rsidRDefault="007D2034">
      <w:pPr>
        <w:numPr>
          <w:ilvl w:val="0"/>
          <w:numId w:val="5"/>
        </w:numPr>
        <w:spacing w:line="276" w:lineRule="auto"/>
        <w:ind w:left="0" w:firstLine="360"/>
        <w:jc w:val="both"/>
      </w:pPr>
      <w:r>
        <w:t xml:space="preserve">респонденты, имеющие лицензию на осуществление медицинской деятельности, с типом организации в Разделе 1 </w:t>
      </w:r>
      <w:r>
        <w:rPr>
          <w:bCs/>
        </w:rPr>
        <w:t>по стр. 16</w:t>
      </w:r>
      <w:r>
        <w:t xml:space="preserve">, но на конец отчетного года не имеющие в штате медицинских работников на постоянной основе; </w:t>
      </w:r>
    </w:p>
    <w:p w14:paraId="1B12B6D9" w14:textId="77777777" w:rsidR="00167FB2" w:rsidRDefault="007D2034">
      <w:pPr>
        <w:numPr>
          <w:ilvl w:val="0"/>
          <w:numId w:val="5"/>
        </w:numPr>
        <w:spacing w:line="276" w:lineRule="auto"/>
      </w:pPr>
      <w:r>
        <w:t>респонденты, не ведущие деятельность с 1 января отчетного года.</w:t>
      </w:r>
    </w:p>
    <w:p w14:paraId="37FD6EE3" w14:textId="77777777" w:rsidR="00167FB2" w:rsidRDefault="007D2034">
      <w:pPr>
        <w:spacing w:line="276" w:lineRule="auto"/>
        <w:jc w:val="both"/>
      </w:pPr>
      <w:r>
        <w:t xml:space="preserve">На титульном листе формы № 1-здрав указывается код ОКПО и наименование организации. </w:t>
      </w:r>
      <w:r>
        <w:br/>
        <w:t xml:space="preserve">В остальных разделах </w:t>
      </w:r>
      <w:r>
        <w:rPr>
          <w:b/>
        </w:rPr>
        <w:t>не должны указываться никакие значения данных</w:t>
      </w:r>
      <w:r>
        <w:t xml:space="preserve">, </w:t>
      </w:r>
      <w:r>
        <w:br/>
        <w:t xml:space="preserve">в том числе нулевые и прочерки. </w:t>
      </w:r>
    </w:p>
    <w:p w14:paraId="1093BBF5" w14:textId="77777777" w:rsidR="00167FB2" w:rsidRDefault="00167FB2">
      <w:pPr>
        <w:spacing w:line="276" w:lineRule="auto"/>
        <w:ind w:left="-360"/>
      </w:pPr>
    </w:p>
    <w:p w14:paraId="0E9E500B" w14:textId="77777777" w:rsidR="00167FB2" w:rsidRDefault="007D2034">
      <w:pPr>
        <w:spacing w:line="276" w:lineRule="auto"/>
        <w:ind w:firstLine="709"/>
        <w:rPr>
          <w:b/>
          <w:bCs/>
        </w:rPr>
      </w:pPr>
      <w:r>
        <w:rPr>
          <w:b/>
          <w:bCs/>
        </w:rPr>
        <w:t>Обращаем Ваше внимание:</w:t>
      </w:r>
    </w:p>
    <w:p w14:paraId="6A7165A6" w14:textId="77777777" w:rsidR="00167FB2" w:rsidRDefault="007D2034">
      <w:pPr>
        <w:spacing w:line="276" w:lineRule="auto"/>
        <w:ind w:firstLine="709"/>
        <w:rPr>
          <w:bCs/>
          <w:iCs/>
        </w:rPr>
      </w:pPr>
      <w:r>
        <w:t>Отчет</w:t>
      </w:r>
      <w:r>
        <w:rPr>
          <w:bCs/>
          <w:iCs/>
        </w:rPr>
        <w:t xml:space="preserve"> по форме № 1-здрав за 2023 год необходимо предоставить, используя </w:t>
      </w:r>
      <w:r>
        <w:rPr>
          <w:bCs/>
          <w:iCs/>
          <w:lang w:val="en-US"/>
        </w:rPr>
        <w:t>xml</w:t>
      </w:r>
      <w:r>
        <w:rPr>
          <w:bCs/>
          <w:iCs/>
        </w:rPr>
        <w:t>-шаблон от 13-02-2024.</w:t>
      </w:r>
    </w:p>
    <w:p w14:paraId="1B557F3A" w14:textId="77777777" w:rsidR="00167FB2" w:rsidRDefault="00167FB2">
      <w:pPr>
        <w:ind w:firstLine="709"/>
        <w:contextualSpacing/>
        <w:jc w:val="center"/>
      </w:pPr>
    </w:p>
    <w:sectPr w:rsidR="00167FB2">
      <w:pgSz w:w="11906" w:h="16838"/>
      <w:pgMar w:top="851" w:right="567" w:bottom="567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BD64" w14:textId="77777777" w:rsidR="007D2034" w:rsidRDefault="007D2034">
      <w:r>
        <w:separator/>
      </w:r>
    </w:p>
  </w:endnote>
  <w:endnote w:type="continuationSeparator" w:id="0">
    <w:p w14:paraId="0135FB90" w14:textId="77777777" w:rsidR="007D2034" w:rsidRDefault="007D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ED61" w14:textId="77777777" w:rsidR="007D2034" w:rsidRDefault="007D2034">
      <w:r>
        <w:separator/>
      </w:r>
    </w:p>
  </w:footnote>
  <w:footnote w:type="continuationSeparator" w:id="0">
    <w:p w14:paraId="6CE8224F" w14:textId="77777777" w:rsidR="007D2034" w:rsidRDefault="007D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78D"/>
    <w:multiLevelType w:val="hybridMultilevel"/>
    <w:tmpl w:val="309AE42E"/>
    <w:lvl w:ilvl="0" w:tplc="6778CB2C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D3C01BD6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A86804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FF1C83A2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84229B1C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B224F0E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178F2C0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1C6ED48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8B944766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35F81ABF"/>
    <w:multiLevelType w:val="hybridMultilevel"/>
    <w:tmpl w:val="6E869EDE"/>
    <w:lvl w:ilvl="0" w:tplc="4B404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D483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94FB6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A61B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FC2B9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9E6E4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4A53C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580D7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CA459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F16A0"/>
    <w:multiLevelType w:val="hybridMultilevel"/>
    <w:tmpl w:val="5BFC5642"/>
    <w:lvl w:ilvl="0" w:tplc="A768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6CB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25C8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AF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20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CA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03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EB6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8A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7945"/>
    <w:multiLevelType w:val="hybridMultilevel"/>
    <w:tmpl w:val="33E2B5AE"/>
    <w:lvl w:ilvl="0" w:tplc="8478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E1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A1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83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E2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61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2EE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CE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23ED6"/>
    <w:multiLevelType w:val="hybridMultilevel"/>
    <w:tmpl w:val="96BC11D2"/>
    <w:lvl w:ilvl="0" w:tplc="F944524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98C3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9A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E9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17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04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4D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84A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C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365A"/>
    <w:multiLevelType w:val="hybridMultilevel"/>
    <w:tmpl w:val="BC50CDC2"/>
    <w:lvl w:ilvl="0" w:tplc="0868E4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32565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84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7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8F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F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CAD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2C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480572">
    <w:abstractNumId w:val="0"/>
  </w:num>
  <w:num w:numId="2" w16cid:durableId="277612742">
    <w:abstractNumId w:val="1"/>
  </w:num>
  <w:num w:numId="3" w16cid:durableId="1586768845">
    <w:abstractNumId w:val="5"/>
  </w:num>
  <w:num w:numId="4" w16cid:durableId="566648359">
    <w:abstractNumId w:val="4"/>
  </w:num>
  <w:num w:numId="5" w16cid:durableId="684795788">
    <w:abstractNumId w:val="3"/>
  </w:num>
  <w:num w:numId="6" w16cid:durableId="149213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FB2"/>
    <w:rsid w:val="00167FB2"/>
    <w:rsid w:val="007D2034"/>
    <w:rsid w:val="00D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6D10"/>
  <w15:docId w15:val="{BE6F80C1-4B78-45A4-A752-922BFE7C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4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link w:val="15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16">
    <w:name w:val="Верхний колонтитул1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16"/>
    <w:rPr>
      <w:sz w:val="24"/>
      <w:szCs w:val="24"/>
    </w:rPr>
  </w:style>
  <w:style w:type="paragraph" w:customStyle="1" w:styleId="17">
    <w:name w:val="Нижний колонтитул1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17"/>
    <w:rPr>
      <w:sz w:val="24"/>
      <w:szCs w:val="24"/>
    </w:rPr>
  </w:style>
  <w:style w:type="character" w:styleId="af7">
    <w:name w:val="Hyperlink"/>
    <w:rPr>
      <w:color w:val="0000FF"/>
      <w:u w:val="single"/>
    </w:rPr>
  </w:style>
  <w:style w:type="paragraph" w:customStyle="1" w:styleId="18">
    <w:name w:val="Название объекта1"/>
    <w:basedOn w:val="a"/>
    <w:next w:val="a"/>
    <w:qFormat/>
    <w:pPr>
      <w:framePr w:w="4723" w:h="4183" w:hSpace="180" w:wrap="around" w:vAnchor="text" w:hAnchor="page" w:x="1045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b/>
      <w:color w:val="000000"/>
      <w:sz w:val="28"/>
      <w:szCs w:val="20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nhideWhenUsed/>
    <w:pPr>
      <w:jc w:val="both"/>
    </w:pPr>
    <w:rPr>
      <w:b/>
      <w:bCs/>
      <w:sz w:val="28"/>
    </w:rPr>
  </w:style>
  <w:style w:type="character" w:customStyle="1" w:styleId="afb">
    <w:name w:val="Основной текст Знак"/>
    <w:link w:val="afa"/>
    <w:rPr>
      <w:b/>
      <w:bCs/>
      <w:sz w:val="28"/>
      <w:szCs w:val="24"/>
    </w:rPr>
  </w:style>
  <w:style w:type="table" w:styleId="afc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pPr>
      <w:widowControl w:val="0"/>
      <w:spacing w:line="280" w:lineRule="auto"/>
      <w:jc w:val="center"/>
    </w:pPr>
    <w:rPr>
      <w:b/>
    </w:rPr>
  </w:style>
  <w:style w:type="character" w:styleId="afd">
    <w:name w:val="Placeholder Text"/>
    <w:uiPriority w:val="99"/>
    <w:semiHidden/>
    <w:rPr>
      <w:color w:val="808080"/>
    </w:rPr>
  </w:style>
  <w:style w:type="character" w:customStyle="1" w:styleId="15">
    <w:name w:val="Заголовок 1 Знак"/>
    <w:link w:val="111"/>
    <w:uiPriority w:val="9"/>
    <w:rPr>
      <w:b/>
      <w:bCs/>
      <w:sz w:val="48"/>
      <w:szCs w:val="4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character" w:styleId="afe">
    <w:name w:val="FollowedHyperlink"/>
    <w:rPr>
      <w:color w:val="954F72"/>
      <w:u w:val="single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Рямова И.В., Главный специалист-эксперт</cp:lastModifiedBy>
  <cp:revision>16</cp:revision>
  <dcterms:created xsi:type="dcterms:W3CDTF">2022-12-13T10:36:00Z</dcterms:created>
  <dcterms:modified xsi:type="dcterms:W3CDTF">2024-03-01T06:17:00Z</dcterms:modified>
</cp:coreProperties>
</file>